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B" w:rsidRDefault="00BE21CB" w:rsidP="00BE21CB">
      <w:pPr>
        <w:jc w:val="center"/>
        <w:rPr>
          <w:bCs/>
          <w:sz w:val="24"/>
          <w:szCs w:val="24"/>
          <w:u w:val="single"/>
        </w:rPr>
      </w:pPr>
      <w:proofErr w:type="spellStart"/>
      <w:r w:rsidRPr="00D830AD">
        <w:rPr>
          <w:bCs/>
          <w:sz w:val="24"/>
          <w:szCs w:val="24"/>
          <w:u w:val="single"/>
        </w:rPr>
        <w:t>Бутьковец</w:t>
      </w:r>
      <w:proofErr w:type="spellEnd"/>
      <w:r w:rsidRPr="00D830AD">
        <w:rPr>
          <w:bCs/>
          <w:sz w:val="24"/>
          <w:szCs w:val="24"/>
          <w:u w:val="single"/>
        </w:rPr>
        <w:t xml:space="preserve"> В.В.</w:t>
      </w:r>
    </w:p>
    <w:p w:rsidR="00BE21CB" w:rsidRPr="00BE21CB" w:rsidRDefault="00BE21CB" w:rsidP="00BE21CB">
      <w:pPr>
        <w:jc w:val="center"/>
        <w:rPr>
          <w:bCs/>
          <w:sz w:val="24"/>
          <w:szCs w:val="24"/>
        </w:rPr>
      </w:pPr>
      <w:r w:rsidRPr="00BE21CB">
        <w:rPr>
          <w:bCs/>
          <w:sz w:val="24"/>
          <w:szCs w:val="24"/>
        </w:rPr>
        <w:t>Научный руководитель: Иванова А.А.</w:t>
      </w:r>
    </w:p>
    <w:p w:rsidR="00BE21CB" w:rsidRPr="00D830AD" w:rsidRDefault="00BE21CB" w:rsidP="00BE21CB">
      <w:pPr>
        <w:spacing w:after="0"/>
        <w:jc w:val="center"/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 xml:space="preserve">ЛЕСОВОЗОБНОВИТЕЛЬНЫЙ ПОТЕНЦИАЛ БЕЛОРУССКОЙ ПОПУЛЯЦИИ </w:t>
      </w:r>
      <w:r w:rsidRPr="00D830AD">
        <w:rPr>
          <w:b/>
          <w:i/>
          <w:sz w:val="24"/>
          <w:szCs w:val="24"/>
          <w:lang w:val="en-US"/>
        </w:rPr>
        <w:t>PICEA</w:t>
      </w:r>
      <w:r w:rsidRPr="00D830AD">
        <w:rPr>
          <w:b/>
          <w:i/>
          <w:sz w:val="24"/>
          <w:szCs w:val="24"/>
        </w:rPr>
        <w:t xml:space="preserve"> </w:t>
      </w:r>
      <w:r w:rsidRPr="00D830AD">
        <w:rPr>
          <w:b/>
          <w:i/>
          <w:sz w:val="24"/>
          <w:szCs w:val="24"/>
          <w:lang w:val="en-US"/>
        </w:rPr>
        <w:t>ABIES</w:t>
      </w:r>
      <w:r w:rsidRPr="00D830AD">
        <w:rPr>
          <w:b/>
          <w:sz w:val="24"/>
          <w:szCs w:val="24"/>
        </w:rPr>
        <w:t xml:space="preserve"> НА ПРИМЕРЕ НАСАЖДЕНИЙ РОССОНСКОГО И БЕГОМЛЬСКОГО ЛЕСХОЗОВ ВИТЕБСКОГО ГПЛХО</w:t>
      </w:r>
    </w:p>
    <w:p w:rsidR="00BE21CB" w:rsidRPr="00F67125" w:rsidRDefault="00BE21CB" w:rsidP="00BE21CB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 w:rsidRPr="00D830AD">
        <w:rPr>
          <w:rFonts w:eastAsia="Calibri"/>
          <w:i/>
          <w:sz w:val="24"/>
          <w:szCs w:val="22"/>
          <w:lang w:eastAsia="en-US"/>
        </w:rPr>
        <w:t>ГНУ «Институт леса НАН Беларуси», 246001, г. Гомель, ул. Пролетарская 71, Беларусь</w:t>
      </w:r>
      <w:r>
        <w:rPr>
          <w:rFonts w:eastAsia="Calibri"/>
          <w:i/>
          <w:sz w:val="24"/>
          <w:szCs w:val="22"/>
          <w:lang w:eastAsia="en-US"/>
        </w:rPr>
        <w:t xml:space="preserve">, </w:t>
      </w:r>
      <w:r w:rsidRPr="00D830AD">
        <w:rPr>
          <w:rFonts w:eastAsia="Calibri"/>
          <w:i/>
          <w:sz w:val="24"/>
          <w:szCs w:val="22"/>
          <w:lang w:val="en-US" w:eastAsia="en-US"/>
        </w:rPr>
        <w:t>e</w:t>
      </w:r>
      <w:r w:rsidRPr="00F67125">
        <w:rPr>
          <w:rFonts w:eastAsia="Calibri"/>
          <w:i/>
          <w:sz w:val="24"/>
          <w:szCs w:val="22"/>
          <w:lang w:eastAsia="en-US"/>
        </w:rPr>
        <w:t>-</w:t>
      </w:r>
      <w:r w:rsidRPr="00D830AD">
        <w:rPr>
          <w:rFonts w:eastAsia="Calibri"/>
          <w:i/>
          <w:sz w:val="24"/>
          <w:szCs w:val="22"/>
          <w:lang w:val="en-US" w:eastAsia="en-US"/>
        </w:rPr>
        <w:t>mail</w:t>
      </w:r>
      <w:r w:rsidRPr="00F67125">
        <w:rPr>
          <w:rFonts w:eastAsia="Calibri"/>
          <w:i/>
          <w:sz w:val="24"/>
          <w:szCs w:val="22"/>
          <w:lang w:eastAsia="en-US"/>
        </w:rPr>
        <w:t xml:space="preserve">: </w:t>
      </w:r>
      <w:hyperlink r:id="rId8" w:history="1"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butskavets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u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@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mail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proofErr w:type="spellStart"/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ru</w:t>
        </w:r>
        <w:proofErr w:type="spellEnd"/>
      </w:hyperlink>
    </w:p>
    <w:p w:rsidR="00BE21CB" w:rsidRPr="00F67125" w:rsidRDefault="00BE21CB" w:rsidP="00BE21CB">
      <w:pPr>
        <w:spacing w:after="0" w:line="360" w:lineRule="exact"/>
        <w:ind w:firstLine="567"/>
        <w:contextualSpacing/>
        <w:rPr>
          <w:rFonts w:eastAsia="Calibri"/>
          <w:sz w:val="24"/>
          <w:szCs w:val="22"/>
          <w:lang w:eastAsia="en-US"/>
        </w:rPr>
      </w:pP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Введение.</w:t>
      </w:r>
      <w:r w:rsidRPr="00D830AD">
        <w:rPr>
          <w:rFonts w:eastAsia="Calibri"/>
          <w:sz w:val="24"/>
          <w:szCs w:val="22"/>
          <w:lang w:eastAsia="en-US"/>
        </w:rPr>
        <w:t xml:space="preserve"> Формация еловых лесов в Беларуси является зональной и в направлении с севера на юг претерпевает не только количественные, но и определенные качественные изменения. В связи с изменяющимися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погодно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>-климатическими условиями и увеличением антропогенной нагрузки ельники испытывают сильное негативное воздействие, приводящее к сокращению еловых древостоев. Учеными-лесоводами отмечается, что еловые насаждения, образовавшиеся естественным путем, имеют ряд преимуществ над искусственно создаваемыми лесными культурами. Успешность формирования елью материнских древостоев обеспечивается уровнем её лесовозобновительного потенциала [1].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Материалы и методы.</w:t>
      </w:r>
      <w:r w:rsidRPr="00D830AD">
        <w:rPr>
          <w:rFonts w:eastAsia="Calibri"/>
          <w:sz w:val="24"/>
          <w:szCs w:val="22"/>
          <w:lang w:eastAsia="en-US"/>
        </w:rPr>
        <w:t xml:space="preserve"> В данном исследовании были проанализированы приспевающие, спелые и перестойные насаждения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Россонского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и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Бегомльского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лесхозов Витебского ГПЛХО. Анализируемые насаждения произрастают в 12 284 таксационных выделах на площади 43 884,6 га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Россонского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и в 6 104 выделах на площади 20 806,6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 xml:space="preserve">га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Бегомльского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лесхозов. Таким образом, были охвачены насаждения 12 лесничеств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Россонского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и 8 лесничество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Бегомльского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лесхозов.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Результаты и выводы.</w:t>
      </w:r>
      <w:r w:rsidRPr="00D830AD">
        <w:rPr>
          <w:rFonts w:eastAsia="Calibri"/>
          <w:sz w:val="24"/>
          <w:szCs w:val="22"/>
          <w:lang w:eastAsia="en-US"/>
        </w:rPr>
        <w:t xml:space="preserve"> Приспевающие, спелые и перестойные насаждения представлены сосняками (40,9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от общей площади), ельниками (14,1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и мелколиственными насаждениями (45,0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Широколиственные насаждения представлены лишь в одном выделе (6,1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 xml:space="preserve">га)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Бегомльского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лесхоза. Установлено, что под пологом 6 565 насаждений, произрастающих на площади 21 839,9 га (33,8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%), имеется благонадежный подрост основных лесообразующих пород. При этом еловый подрост, способный сформировать в будущем высокопродуктивные еловые насаждения (произрастающий в благоприятных лесорастительных условиях), нами был отмечен на площади 15 538,6 га (24,0 %). Наиболее успешно естественное возобновление ели под пологом древостоев протекает в черничной (53,2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 xml:space="preserve">% всех древостоев данной группе типов леса),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орляковой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(51,9 %) и кисличной (42,4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 xml:space="preserve">%) группах типов леса. По густоте наибольший удельный вес имеет группа подроста с количеством от 2,0 до 3,9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тыс.шт</w:t>
      </w:r>
      <w:proofErr w:type="spellEnd"/>
      <w:r w:rsidRPr="00D830AD">
        <w:rPr>
          <w:rFonts w:eastAsia="Calibri"/>
          <w:sz w:val="24"/>
          <w:szCs w:val="22"/>
          <w:lang w:eastAsia="en-US"/>
        </w:rPr>
        <w:t>./га (73,1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общего количества подроста) и с количеством более 4,0</w:t>
      </w:r>
      <w:r>
        <w:rPr>
          <w:rFonts w:eastAsia="Calibri"/>
          <w:sz w:val="24"/>
          <w:szCs w:val="22"/>
          <w:lang w:eastAsia="en-US"/>
        </w:rPr>
        <w:t> 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тыс.шт</w:t>
      </w:r>
      <w:proofErr w:type="spellEnd"/>
      <w:r w:rsidRPr="00D830AD">
        <w:rPr>
          <w:rFonts w:eastAsia="Calibri"/>
          <w:sz w:val="24"/>
          <w:szCs w:val="22"/>
          <w:lang w:eastAsia="en-US"/>
        </w:rPr>
        <w:t>./га (15,5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Подрост количеством до 2,0</w:t>
      </w:r>
      <w:r>
        <w:rPr>
          <w:rFonts w:eastAsia="Calibri"/>
          <w:sz w:val="24"/>
          <w:szCs w:val="22"/>
          <w:lang w:eastAsia="en-US"/>
        </w:rPr>
        <w:t> 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тыс.шт</w:t>
      </w:r>
      <w:proofErr w:type="spellEnd"/>
      <w:r w:rsidRPr="00D830AD">
        <w:rPr>
          <w:rFonts w:eastAsia="Calibri"/>
          <w:sz w:val="24"/>
          <w:szCs w:val="22"/>
          <w:lang w:eastAsia="en-US"/>
        </w:rPr>
        <w:t>./га представлен лишь в 11,5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случаев.</w:t>
      </w:r>
    </w:p>
    <w:p w:rsidR="00BE21CB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 xml:space="preserve">Вышеуказанное свидетельствует о высоком лесовозобновительном потенциале популяции ели европейской даже в условиях негативных изменений экологических условий. Рациональное проведение лесохозяйственных мероприятий на территории указанных учреждений, посредством проведения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несплошных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рубок леса и обеспечения сохранения подроста, позволит сохранить площадь еловых насаждений.</w:t>
      </w:r>
    </w:p>
    <w:p w:rsidR="00BE21CB" w:rsidRPr="00F67125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lastRenderedPageBreak/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</w:p>
    <w:p w:rsidR="00BE21CB" w:rsidRPr="00F67125" w:rsidRDefault="00BE21CB" w:rsidP="00BE21CB">
      <w:pPr>
        <w:spacing w:after="0"/>
        <w:ind w:firstLine="567"/>
        <w:rPr>
          <w:rFonts w:eastAsia="Calibri"/>
        </w:rPr>
      </w:pP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>.</w:t>
      </w:r>
    </w:p>
    <w:p w:rsidR="00BE21CB" w:rsidRPr="00F67125" w:rsidRDefault="00BE21CB" w:rsidP="00BE21CB">
      <w:pPr>
        <w:spacing w:after="0"/>
        <w:ind w:firstLine="567"/>
        <w:rPr>
          <w:rFonts w:eastAsia="Calibri"/>
        </w:rPr>
      </w:pP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lorem</w:t>
      </w:r>
      <w:proofErr w:type="spellEnd"/>
      <w:r w:rsidRPr="00F67125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2"/>
          <w:lang w:val="en-US" w:eastAsia="en-US"/>
        </w:rPr>
        <w:t>ipsum</w:t>
      </w:r>
      <w:proofErr w:type="spellEnd"/>
      <w:r w:rsidRPr="00F67125">
        <w:rPr>
          <w:rFonts w:eastAsia="Calibri"/>
          <w:sz w:val="24"/>
          <w:szCs w:val="22"/>
          <w:lang w:eastAsia="en-US"/>
        </w:rPr>
        <w:t>.</w:t>
      </w:r>
    </w:p>
    <w:p w:rsidR="00BE21CB" w:rsidRPr="00BE21CB" w:rsidRDefault="00BE21CB" w:rsidP="00BE21CB">
      <w:pPr>
        <w:spacing w:after="0" w:line="360" w:lineRule="exact"/>
        <w:ind w:firstLine="567"/>
        <w:contextualSpacing/>
        <w:rPr>
          <w:rFonts w:eastAsia="Calibri"/>
          <w:b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Литература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 xml:space="preserve">1. Рожков, Л. Н. Лесовозобновительный потенциал белорусской популяции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Picea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abies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в современных условиях / Л. Н. Рожков, В. В.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Бутьковец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// Труды БГТУ. Сер. 1, Лесное хозяйство, природопользование и переработка возобновляемых ресурсов. – Минск : БГТУ, 2017. – № 1 (192). – C. 18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22.</w:t>
      </w:r>
    </w:p>
    <w:p w:rsidR="00BE21CB" w:rsidRPr="005B7484" w:rsidRDefault="00BE21CB" w:rsidP="00BE21CB">
      <w:pPr>
        <w:spacing w:after="0"/>
        <w:ind w:firstLine="567"/>
        <w:rPr>
          <w:rFonts w:eastAsia="Calibri"/>
          <w:color w:val="000000"/>
          <w:sz w:val="24"/>
          <w:szCs w:val="24"/>
          <w:u w:val="single"/>
        </w:rPr>
      </w:pPr>
      <w:r w:rsidRPr="00D830AD">
        <w:rPr>
          <w:rFonts w:eastAsia="Calibri"/>
          <w:sz w:val="24"/>
          <w:szCs w:val="22"/>
          <w:lang w:eastAsia="en-US"/>
        </w:rPr>
        <w:t xml:space="preserve">2. Рожков, Л. Н. Экологически приемлемые способы рубок и возобновления при освоении лесосечного фонда в Беларуси / Л. Н. Рожков, И. Ф. Ерошкина, О. Г.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Бельчина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 // Актуальные проблемы лесного комплекса / Под общ. ред. Е. А. Памфилова. Сб. науч. тр. по итогам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междунар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.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практ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.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конф</w:t>
      </w:r>
      <w:proofErr w:type="spellEnd"/>
      <w:r w:rsidRPr="00D830AD">
        <w:rPr>
          <w:rFonts w:eastAsia="Calibri"/>
          <w:sz w:val="24"/>
          <w:szCs w:val="22"/>
          <w:lang w:eastAsia="en-US"/>
        </w:rPr>
        <w:t xml:space="preserve">. </w:t>
      </w:r>
      <w:proofErr w:type="spellStart"/>
      <w:r w:rsidRPr="00D830AD">
        <w:rPr>
          <w:rFonts w:eastAsia="Calibri"/>
          <w:sz w:val="24"/>
          <w:szCs w:val="22"/>
          <w:lang w:eastAsia="en-US"/>
        </w:rPr>
        <w:t>Вып</w:t>
      </w:r>
      <w:proofErr w:type="spellEnd"/>
      <w:r w:rsidRPr="00D830AD">
        <w:rPr>
          <w:rFonts w:eastAsia="Calibri"/>
          <w:sz w:val="24"/>
          <w:szCs w:val="22"/>
          <w:lang w:eastAsia="en-US"/>
        </w:rPr>
        <w:t>. 39. – Брянск</w:t>
      </w:r>
      <w:r w:rsidR="00217123">
        <w:rPr>
          <w:rFonts w:eastAsia="Calibri"/>
          <w:sz w:val="24"/>
          <w:szCs w:val="22"/>
          <w:lang w:eastAsia="en-US"/>
        </w:rPr>
        <w:t xml:space="preserve"> </w:t>
      </w:r>
      <w:bookmarkStart w:id="0" w:name="_GoBack"/>
      <w:bookmarkEnd w:id="0"/>
      <w:r w:rsidRPr="00D830AD">
        <w:rPr>
          <w:rFonts w:eastAsia="Calibri"/>
          <w:sz w:val="24"/>
          <w:szCs w:val="22"/>
          <w:lang w:eastAsia="en-US"/>
        </w:rPr>
        <w:t>: БГИТА, 2014. – С. 80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85.</w:t>
      </w:r>
    </w:p>
    <w:p w:rsidR="00AB33D3" w:rsidRDefault="00AB33D3"/>
    <w:sectPr w:rsidR="00AB33D3" w:rsidSect="00F6712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53" w:rsidRDefault="00446C53" w:rsidP="00F67125">
      <w:pPr>
        <w:spacing w:after="0"/>
      </w:pPr>
      <w:r>
        <w:separator/>
      </w:r>
    </w:p>
  </w:endnote>
  <w:endnote w:type="continuationSeparator" w:id="0">
    <w:p w:rsidR="00446C53" w:rsidRDefault="00446C53" w:rsidP="00F67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53" w:rsidRDefault="00446C53" w:rsidP="00F67125">
      <w:pPr>
        <w:spacing w:after="0"/>
      </w:pPr>
      <w:r>
        <w:separator/>
      </w:r>
    </w:p>
  </w:footnote>
  <w:footnote w:type="continuationSeparator" w:id="0">
    <w:p w:rsidR="00446C53" w:rsidRDefault="00446C53" w:rsidP="00F671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CB" w:rsidRDefault="00BE21CB" w:rsidP="00F67125">
    <w:r>
      <w:rPr>
        <w:rFonts w:ascii="Arial" w:hAnsi="Arial" w:cs="Arial"/>
      </w:rPr>
      <w:t>Приложение 2. Шаблон оформления тезисов для школьников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125"/>
    <w:rsid w:val="000752AD"/>
    <w:rsid w:val="00197F61"/>
    <w:rsid w:val="001D4507"/>
    <w:rsid w:val="00217123"/>
    <w:rsid w:val="00241C7C"/>
    <w:rsid w:val="00446C53"/>
    <w:rsid w:val="00AB33D3"/>
    <w:rsid w:val="00BE21CB"/>
    <w:rsid w:val="00C9563B"/>
    <w:rsid w:val="00F2208D"/>
    <w:rsid w:val="00F4001A"/>
    <w:rsid w:val="00F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5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67125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712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125"/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skavets.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0874-8C24-4A96-80B7-8CC2C4F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Неборская</cp:lastModifiedBy>
  <cp:revision>4</cp:revision>
  <dcterms:created xsi:type="dcterms:W3CDTF">2019-04-18T11:55:00Z</dcterms:created>
  <dcterms:modified xsi:type="dcterms:W3CDTF">2019-05-02T12:57:00Z</dcterms:modified>
</cp:coreProperties>
</file>